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/>
    <w:p/>
    <w:p/>
    <w:p>
      <w:pPr>
        <w:spacing w:line="360" w:lineRule="auto"/>
        <w:jc w:val="center"/>
        <w:rPr>
          <w:rFonts w:hint="eastAsia" w:ascii="黑体" w:hAnsi="黑体" w:eastAsia="黑体" w:cs="宋体"/>
          <w:sz w:val="52"/>
          <w:szCs w:val="36"/>
          <w:lang w:val="en-US" w:eastAsia="zh-CN"/>
        </w:rPr>
      </w:pPr>
      <w:r>
        <w:rPr>
          <w:rFonts w:hint="eastAsia" w:ascii="黑体" w:hAnsi="黑体" w:eastAsia="黑体" w:cs="宋体"/>
          <w:sz w:val="52"/>
          <w:szCs w:val="36"/>
          <w:lang w:val="en-US" w:eastAsia="zh-CN"/>
        </w:rPr>
        <w:t>广东开放大学（广东理工职业学院）</w:t>
      </w:r>
    </w:p>
    <w:p>
      <w:pPr>
        <w:spacing w:line="360" w:lineRule="auto"/>
        <w:jc w:val="center"/>
        <w:rPr>
          <w:rFonts w:hint="eastAsia" w:ascii="黑体" w:hAnsi="黑体" w:eastAsia="黑体" w:cs="宋体"/>
          <w:sz w:val="52"/>
          <w:szCs w:val="36"/>
          <w:lang w:val="en-US" w:eastAsia="zh-CN"/>
        </w:rPr>
      </w:pPr>
      <w:r>
        <w:rPr>
          <w:rFonts w:hint="eastAsia" w:ascii="黑体" w:hAnsi="黑体" w:eastAsia="黑体" w:cs="宋体"/>
          <w:sz w:val="52"/>
          <w:szCs w:val="36"/>
        </w:rPr>
        <w:t>采购项目需求调查</w:t>
      </w:r>
      <w:r>
        <w:rPr>
          <w:rFonts w:hint="eastAsia" w:ascii="黑体" w:hAnsi="黑体" w:eastAsia="黑体" w:cs="宋体"/>
          <w:sz w:val="52"/>
          <w:szCs w:val="36"/>
          <w:lang w:val="en-US" w:eastAsia="zh-CN"/>
        </w:rPr>
        <w:t>表</w:t>
      </w: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〔</w:t>
      </w:r>
      <w:r>
        <w:rPr>
          <w:rFonts w:hint="eastAsia"/>
          <w:b/>
          <w:bCs/>
          <w:sz w:val="28"/>
          <w:szCs w:val="36"/>
          <w:lang w:val="en-US" w:eastAsia="zh-CN"/>
        </w:rPr>
        <w:t>申请部门（单位）填写</w:t>
      </w:r>
      <w:r>
        <w:rPr>
          <w:rFonts w:hint="eastAsia"/>
          <w:b/>
          <w:bCs/>
          <w:sz w:val="28"/>
          <w:szCs w:val="36"/>
          <w:lang w:eastAsia="zh-CN"/>
        </w:rPr>
        <w:t>〕</w:t>
      </w:r>
    </w:p>
    <w:p/>
    <w:p>
      <w:pPr>
        <w:ind w:firstLine="1440" w:firstLineChars="450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黑体" w:hAnsi="黑体" w:eastAsia="黑体"/>
          <w:sz w:val="32"/>
          <w:szCs w:val="32"/>
          <w:u w:val="single"/>
        </w:rPr>
        <w:t xml:space="preserve">       </w:t>
      </w:r>
    </w:p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申请部门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</w:rPr>
        <w:t>单位</w:t>
      </w:r>
      <w:r>
        <w:rPr>
          <w:rFonts w:hint="eastAsia" w:ascii="黑体" w:hAnsi="黑体" w:eastAsia="黑体"/>
          <w:sz w:val="32"/>
          <w:szCs w:val="32"/>
          <w:lang w:eastAsia="zh-CN"/>
        </w:rPr>
        <w:t>）（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盖章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pStyle w:val="4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</w:p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二〇二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物资招标采购中心编制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调 查 </w:t>
      </w:r>
      <w:r>
        <w:rPr>
          <w:rFonts w:ascii="黑体" w:hAnsi="黑体" w:eastAsia="黑体"/>
          <w:sz w:val="44"/>
          <w:szCs w:val="44"/>
        </w:rPr>
        <w:t>说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>明</w:t>
      </w:r>
    </w:p>
    <w:p>
      <w:pPr>
        <w:pStyle w:val="4"/>
      </w:pP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《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广东开放大学（广东理工职业学院）采购管理办法（修订）</w:t>
      </w:r>
      <w:r>
        <w:rPr>
          <w:rFonts w:hint="eastAsia" w:ascii="仿宋" w:hAnsi="仿宋" w:eastAsia="仿宋"/>
          <w:b/>
          <w:bCs/>
          <w:sz w:val="32"/>
          <w:szCs w:val="32"/>
        </w:rPr>
        <w:t>》第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条规定的采购项目，申请部门（单位）必须开展需求调查。申请部门（单位）可以自行组织采购需求调查、编制，也可以委托专业第三方机构调查、编制，但不得委托相关供应商进行需求调查。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采购需求调查</w:t>
      </w:r>
    </w:p>
    <w:p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11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972"/>
        <w:gridCol w:w="1008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采购项目名称</w:t>
            </w:r>
          </w:p>
        </w:tc>
        <w:tc>
          <w:tcPr>
            <w:tcW w:w="69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采购项目预算</w:t>
            </w:r>
          </w:p>
        </w:tc>
        <w:tc>
          <w:tcPr>
            <w:tcW w:w="69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0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申请部门（单位）</w:t>
            </w:r>
          </w:p>
        </w:tc>
        <w:tc>
          <w:tcPr>
            <w:tcW w:w="69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0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项目类型</w:t>
            </w:r>
          </w:p>
        </w:tc>
        <w:tc>
          <w:tcPr>
            <w:tcW w:w="69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□1000万元及以上的货物、服务采购项目，3000万元及以上的工程采购项目。</w:t>
            </w:r>
          </w:p>
          <w:p>
            <w:pPr>
              <w:pStyle w:val="4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□涉及师生利益、关注度较高的食堂餐饮托管经营，400万元及以上的物业、安保、家具等采购项目。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□技术复杂、专业性较强的100万元及以上需定制开发的信息化建设项目、采购进口产品等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项目。</w:t>
            </w:r>
          </w:p>
          <w:p>
            <w:pPr>
              <w:pStyle w:val="4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</w:rPr>
              <w:t>□上级或者学校认为需要开展需求调查的其他采购项目。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0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调查安排</w:t>
            </w:r>
          </w:p>
        </w:tc>
        <w:tc>
          <w:tcPr>
            <w:tcW w:w="69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□采购人自行调查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□委托第三方机构调查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调查方式</w:t>
            </w:r>
          </w:p>
        </w:tc>
        <w:tc>
          <w:tcPr>
            <w:tcW w:w="694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□咨询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□论证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□问卷调查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□其它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895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调查人员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 w:cs="Helvetica Neue"/>
          <w:bCs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Cs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（调查人员应当为调查信息的真实性、有效性负责）</w:t>
      </w:r>
    </w:p>
    <w:p>
      <w:pPr>
        <w:pStyle w:val="21"/>
        <w:widowControl/>
        <w:numPr>
          <w:ilvl w:val="0"/>
          <w:numId w:val="2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需求调查</w:t>
      </w:r>
    </w:p>
    <w:p>
      <w:pPr>
        <w:widowControl/>
        <w:spacing w:line="360" w:lineRule="auto"/>
        <w:rPr>
          <w:rFonts w:ascii="仿宋" w:hAnsi="仿宋" w:eastAsia="仿宋"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1.现有产品的技术路线、工艺水平、技术水平或行业的发展历程、行业现状等：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2.可能涉及的企业资质、产品资质、人员资质：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3.涉及的相关标准和规范：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1.市场竞争程度：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2.价格水平或价格构成：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3.潜在供应商的数量、履约能力、售后服务能力：</w:t>
      </w:r>
    </w:p>
    <w:p>
      <w:pPr>
        <w:rPr>
          <w:sz w:val="24"/>
          <w:szCs w:val="24"/>
        </w:rPr>
      </w:pPr>
    </w:p>
    <w:p>
      <w:pPr>
        <w:pStyle w:val="4"/>
      </w:pPr>
    </w:p>
    <w:p/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2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94"/>
        <w:gridCol w:w="1314"/>
        <w:gridCol w:w="1233"/>
        <w:gridCol w:w="1025"/>
        <w:gridCol w:w="1130"/>
        <w:gridCol w:w="121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采购人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项目预算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中标人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中标价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中标品牌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 w:cs="Arial"/>
          <w:color w:val="191919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ascii="仿宋" w:hAnsi="仿宋" w:eastAsia="仿宋"/>
          <w:sz w:val="24"/>
          <w:szCs w:val="24"/>
        </w:rPr>
        <w:t>可能涉及的运行维护</w:t>
      </w:r>
      <w:r>
        <w:rPr>
          <w:rFonts w:ascii="仿宋" w:hAnsi="仿宋" w:eastAsia="仿宋" w:cs="Arial"/>
          <w:color w:val="191919"/>
          <w:sz w:val="24"/>
          <w:szCs w:val="24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24"/>
          <w:szCs w:val="24"/>
        </w:rPr>
        <w:t>情况：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（六）市场主体情况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（备选）</w:t>
      </w:r>
      <w:r>
        <w:rPr>
          <w:rFonts w:hint="eastAsia" w:ascii="仿宋" w:hAnsi="仿宋" w:eastAsia="仿宋"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1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806"/>
        <w:gridCol w:w="2749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9260" w:type="dxa"/>
            <w:gridSpan w:val="4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市场主体调查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说明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：面向市场主体开展需求调查时，选择的调查对象一般不少于3个，并应当具有代表性。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市场主体名称</w:t>
            </w: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Cs/>
          <w:i w:val="0"/>
          <w:i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i w:val="0"/>
          <w:iCs w:val="0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/>
          <w:i w:val="0"/>
          <w:iCs w:val="0"/>
          <w:sz w:val="21"/>
          <w:szCs w:val="21"/>
        </w:rPr>
        <w:t>代表性市场主体的选择依据：</w:t>
      </w:r>
      <w:r>
        <w:rPr>
          <w:rFonts w:hint="eastAsia" w:ascii="仿宋" w:hAnsi="仿宋" w:eastAsia="仿宋"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（请提供选择上述市场主体开展调查的理由）</w:t>
      </w:r>
    </w:p>
    <w:p>
      <w:r>
        <w:br w:type="page"/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采购需求编制</w:t>
      </w:r>
    </w:p>
    <w:p>
      <w:pPr>
        <w:pStyle w:val="2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项目基本情况</w:t>
      </w:r>
    </w:p>
    <w:tbl>
      <w:tblPr>
        <w:tblStyle w:val="12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572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项目预算（单位：万元）</w:t>
            </w:r>
          </w:p>
        </w:tc>
        <w:tc>
          <w:tcPr>
            <w:tcW w:w="572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申请部门（单位）</w:t>
            </w:r>
          </w:p>
        </w:tc>
        <w:tc>
          <w:tcPr>
            <w:tcW w:w="572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2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负责人/联系电话</w:t>
            </w:r>
          </w:p>
        </w:tc>
        <w:tc>
          <w:tcPr>
            <w:tcW w:w="572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1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黑体" w:hAnsi="黑体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Helvetica Neue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采购需求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（一）采购项目需实现的功能和目标：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（二）项目属性：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是否适宜由中小企业提供，并专门面向中小企业采购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□是 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line="360" w:lineRule="auto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□否，原因说明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（三）采购标的汇总表</w:t>
      </w:r>
    </w:p>
    <w:tbl>
      <w:tblPr>
        <w:tblStyle w:val="11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379"/>
        <w:gridCol w:w="1596"/>
        <w:gridCol w:w="1307"/>
        <w:gridCol w:w="1179"/>
        <w:gridCol w:w="1167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6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Cabin-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Cabin-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59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Cabin-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政府采购品目分类编码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Cabin-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Cabin-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79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Cabin-Regular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Cabin-Regular"/>
                <w:color w:val="5E6B87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Cabin-Regular"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Helvetica Neue"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Helvetica Neue"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采购货物</w:t>
      </w:r>
      <w:r>
        <w:rPr>
          <w:rFonts w:ascii="仿宋" w:hAnsi="仿宋" w:eastAsia="仿宋" w:cs="Helvetica Neue"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Helvetica Neue"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应按照财政部制定的《政府采购品目分类目录》进行分类和细化，涉及采购进口产品请附有关论证和审核材料</w:t>
      </w:r>
      <w:r>
        <w:rPr>
          <w:rFonts w:ascii="仿宋" w:hAnsi="仿宋" w:eastAsia="仿宋" w:cs="Helvetica Neue"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Helvetica Neue"/>
          <w:i w:val="0"/>
          <w:i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Helvetica Neue"/>
          <w:i/>
          <w:i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（四）技术要求与商务要求</w:t>
      </w:r>
    </w:p>
    <w:p>
      <w:pPr>
        <w:spacing w:line="360" w:lineRule="auto"/>
        <w:rPr>
          <w:rFonts w:ascii="仿宋" w:hAnsi="仿宋" w:eastAsia="仿宋"/>
          <w:sz w:val="24"/>
          <w:szCs w:val="24"/>
          <w:u w:val="single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4"/>
          <w:szCs w:val="24"/>
        </w:rPr>
        <w:t>采购标的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（1）技术要求（包括性能、材料、结构、外观、安全或服务内容和服务标准）：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（2）商务要求：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）交付时间：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2）地点：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3）付款进度和方式：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4）包装运输：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5）售后服务：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6）保险：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sz w:val="24"/>
          <w:szCs w:val="24"/>
        </w:rPr>
        <w:t>采购标的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（1）技术要求（包括性能、材料、结构、外观、安全或服务内容和服务标准）：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          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（2）商务要求：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）交付时间：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2）地点：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3）付款进度和方式：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4）包装运输：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5）售后服务：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6）保险：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="仿宋" w:hAnsi="仿宋" w:eastAsia="仿宋"/>
          <w:i w:val="0"/>
          <w:iCs w:val="0"/>
          <w:sz w:val="21"/>
          <w:szCs w:val="21"/>
        </w:rPr>
      </w:pPr>
      <w:r>
        <w:rPr>
          <w:rFonts w:hint="eastAsia" w:ascii="仿宋" w:hAnsi="仿宋" w:eastAsia="仿宋"/>
          <w:i w:val="0"/>
          <w:iCs w:val="0"/>
          <w:sz w:val="21"/>
          <w:szCs w:val="21"/>
        </w:rPr>
        <w:t>（说明：采购需求应当清楚明了、表述规范、含义准确。技术要求应当客观，量化指标应当明确相应等次，有连续区间的按照区间划分等次。需由供应商提供设计方案、解决方案或者组织方案的采购项目，应当说明采购标的的功能、应用场景、目标等基本要求，并尽可能明确其中的客观、量化指标。）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7" w:type="default"/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000B4"/>
    <w:multiLevelType w:val="multilevel"/>
    <w:tmpl w:val="55B000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EFE7235"/>
    <w:multiLevelType w:val="multilevel"/>
    <w:tmpl w:val="5EFE7235"/>
    <w:lvl w:ilvl="0" w:tentative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2U0NzY2NTNhYWQ2YWQ5ZmI2YWY3ZDUzNWI3MTQifQ=="/>
  </w:docVars>
  <w:rsids>
    <w:rsidRoot w:val="008F294C"/>
    <w:rsid w:val="00017EC7"/>
    <w:rsid w:val="0003109B"/>
    <w:rsid w:val="00033C45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12469"/>
    <w:rsid w:val="00424A97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53B6E"/>
    <w:rsid w:val="00663784"/>
    <w:rsid w:val="006725E6"/>
    <w:rsid w:val="006A7115"/>
    <w:rsid w:val="006A78FE"/>
    <w:rsid w:val="006B6A96"/>
    <w:rsid w:val="006E4B91"/>
    <w:rsid w:val="006F1648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716DF"/>
    <w:rsid w:val="00CD0F7A"/>
    <w:rsid w:val="00CD344F"/>
    <w:rsid w:val="00CE01F6"/>
    <w:rsid w:val="00CE04E7"/>
    <w:rsid w:val="00CF384C"/>
    <w:rsid w:val="00D179DF"/>
    <w:rsid w:val="00D3200B"/>
    <w:rsid w:val="00D33AD0"/>
    <w:rsid w:val="00D50F38"/>
    <w:rsid w:val="00D65806"/>
    <w:rsid w:val="00D91AC4"/>
    <w:rsid w:val="00DA5F0B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10A571F"/>
    <w:rsid w:val="02E90863"/>
    <w:rsid w:val="03C734A7"/>
    <w:rsid w:val="05A47C83"/>
    <w:rsid w:val="068F08D5"/>
    <w:rsid w:val="0855058A"/>
    <w:rsid w:val="0D963232"/>
    <w:rsid w:val="0E3176E6"/>
    <w:rsid w:val="107C2883"/>
    <w:rsid w:val="14B37DDC"/>
    <w:rsid w:val="14C34533"/>
    <w:rsid w:val="1A0C111B"/>
    <w:rsid w:val="1AFF0A4B"/>
    <w:rsid w:val="2337447B"/>
    <w:rsid w:val="23867849"/>
    <w:rsid w:val="249266C1"/>
    <w:rsid w:val="24CF5440"/>
    <w:rsid w:val="254F1D14"/>
    <w:rsid w:val="263B71BF"/>
    <w:rsid w:val="270C4509"/>
    <w:rsid w:val="27B02F57"/>
    <w:rsid w:val="28371BFA"/>
    <w:rsid w:val="2865609B"/>
    <w:rsid w:val="2A574CBB"/>
    <w:rsid w:val="2DD83785"/>
    <w:rsid w:val="2E5D47D0"/>
    <w:rsid w:val="2E7B6B50"/>
    <w:rsid w:val="30110809"/>
    <w:rsid w:val="32EC5E34"/>
    <w:rsid w:val="34660519"/>
    <w:rsid w:val="366D6646"/>
    <w:rsid w:val="36A0780F"/>
    <w:rsid w:val="3B4E3AE5"/>
    <w:rsid w:val="3DE75F30"/>
    <w:rsid w:val="3F2654C4"/>
    <w:rsid w:val="40A367DB"/>
    <w:rsid w:val="45967548"/>
    <w:rsid w:val="49FE52CC"/>
    <w:rsid w:val="4A0112AD"/>
    <w:rsid w:val="4BE83164"/>
    <w:rsid w:val="4F990386"/>
    <w:rsid w:val="514A449E"/>
    <w:rsid w:val="59C0772E"/>
    <w:rsid w:val="5B9E2C7A"/>
    <w:rsid w:val="5BCB581F"/>
    <w:rsid w:val="5E9F4D52"/>
    <w:rsid w:val="60AB34C9"/>
    <w:rsid w:val="61A54544"/>
    <w:rsid w:val="632411E5"/>
    <w:rsid w:val="65FB49E1"/>
    <w:rsid w:val="683F7341"/>
    <w:rsid w:val="6B451364"/>
    <w:rsid w:val="6DE00E8F"/>
    <w:rsid w:val="6E250FD9"/>
    <w:rsid w:val="6ED92188"/>
    <w:rsid w:val="71CB5E83"/>
    <w:rsid w:val="728F3D2C"/>
    <w:rsid w:val="74394FB6"/>
    <w:rsid w:val="764E1F9B"/>
    <w:rsid w:val="77B44FB4"/>
    <w:rsid w:val="785018A3"/>
    <w:rsid w:val="79E16FB5"/>
    <w:rsid w:val="79FB285F"/>
    <w:rsid w:val="7BE01E7B"/>
    <w:rsid w:val="7DC7140E"/>
    <w:rsid w:val="7DE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30"/>
    </w:rPr>
  </w:style>
  <w:style w:type="paragraph" w:styleId="5">
    <w:name w:val="annotation text"/>
    <w:basedOn w:val="1"/>
    <w:link w:val="23"/>
    <w:unhideWhenUsed/>
    <w:qFormat/>
    <w:uiPriority w:val="99"/>
    <w:pPr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批注文字 字符"/>
    <w:basedOn w:val="13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5">
    <w:name w:val="标题 1 字符"/>
    <w:basedOn w:val="13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BCEA-0D0D-41EF-AF1A-160C0190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7</Pages>
  <Words>1602</Words>
  <Characters>1621</Characters>
  <Lines>17</Lines>
  <Paragraphs>4</Paragraphs>
  <TotalTime>1</TotalTime>
  <ScaleCrop>false</ScaleCrop>
  <LinksUpToDate>false</LinksUpToDate>
  <CharactersWithSpaces>2617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2021-08-05T08:55:00Z</dcterms:created>
  <dc:creator>River</dc:creator>
  <cp:lastModifiedBy>冯敏怡</cp:lastModifiedBy>
  <cp:lastPrinted>2023-06-07T03:31:00Z</cp:lastPrinted>
  <dcterms:modified xsi:type="dcterms:W3CDTF">2023-06-19T07:59:38Z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700F6850901F4134BF086FE8B5134DFA</vt:lpwstr>
  </property>
</Properties>
</file>